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Политика в отношении обработки персональных данных</w:t>
      </w:r>
    </w:p>
    <w:p>
      <w:pPr>
        <w:jc w:val="center"/>
      </w:pPr>
      <w:r>
        <w:rPr>
          <w:i/>
          <w:sz w:val="22"/>
        </w:rPr>
        <w:t>сервиса ActPro (АктПро). Дата редакции: 21 июня 2026 года</w:t>
      </w:r>
    </w:p>
    <w:p>
      <w:pPr>
        <w:jc w:val="both"/>
      </w:pPr>
      <w:r>
        <w:t>Настоящая Политика (далее — «Политика») описывает, как Индивидуальный предприниматель Могиленко Анастасия Николаевна (ИП Могиленко А.Н.) (ОГРНИП 321774600773470, ИНН 391406404548, адрес: 115201, г. Москва, 1-й Котляковский пер., д. 2А, к. 3, кв. 428В; далее — «Оператор», «мы») обрабатывает персональные данные при использовании сервиса ActPro (АктПро) — веб-панели и мобильного приложения (Android, iOS). Политика разработана в соответствии с Федеральным законом от 27.07.2006 № 152-ФЗ «О персональных данных» (далее — 152-ФЗ).</w:t>
      </w:r>
    </w:p>
    <w:p>
      <w:pPr>
        <w:pStyle w:val="Heading1"/>
      </w:pPr>
      <w:r>
        <w:t>1. Оператор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  <w:shd w:val="clear" w:fill="D9E2F3"/>
          </w:tcPr>
          <w:p>
            <w:r/>
            <w:r>
              <w:rPr>
                <w:b/>
              </w:rPr>
              <w:t>Реквизит</w:t>
            </w:r>
          </w:p>
        </w:tc>
        <w:tc>
          <w:tcPr>
            <w:tcW w:type="dxa" w:w="6236"/>
            <w:shd w:val="clear" w:fill="D9E2F3"/>
          </w:tcPr>
          <w:p>
            <w:r/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3402"/>
          </w:tcPr>
          <w:p>
            <w:r/>
            <w:r>
              <w:t>Оператор / Администратор</w:t>
            </w:r>
          </w:p>
        </w:tc>
        <w:tc>
          <w:tcPr>
            <w:tcW w:type="dxa" w:w="6236"/>
          </w:tcPr>
          <w:p>
            <w:r/>
            <w:r>
              <w:t>Индивидуальный предприниматель Могиленко Анастасия Николаевна (ИП Могиленко А.Н.)</w:t>
            </w:r>
          </w:p>
        </w:tc>
      </w:tr>
      <w:tr>
        <w:tc>
          <w:tcPr>
            <w:tcW w:type="dxa" w:w="3402"/>
          </w:tcPr>
          <w:p>
            <w:r/>
            <w:r>
              <w:t>ОГРНИП</w:t>
            </w:r>
          </w:p>
        </w:tc>
        <w:tc>
          <w:tcPr>
            <w:tcW w:type="dxa" w:w="6236"/>
          </w:tcPr>
          <w:p>
            <w:r/>
            <w:r>
              <w:t>321774600773470</w:t>
            </w:r>
          </w:p>
        </w:tc>
      </w:tr>
      <w:tr>
        <w:tc>
          <w:tcPr>
            <w:tcW w:type="dxa" w:w="3402"/>
          </w:tcPr>
          <w:p>
            <w:r/>
            <w:r>
              <w:t>ИНН</w:t>
            </w:r>
          </w:p>
        </w:tc>
        <w:tc>
          <w:tcPr>
            <w:tcW w:type="dxa" w:w="6236"/>
          </w:tcPr>
          <w:p>
            <w:r/>
            <w:r>
              <w:t>391406404548</w:t>
            </w:r>
          </w:p>
        </w:tc>
      </w:tr>
      <w:tr>
        <w:tc>
          <w:tcPr>
            <w:tcW w:type="dxa" w:w="3402"/>
          </w:tcPr>
          <w:p>
            <w:r/>
            <w:r>
              <w:t>Адрес (регистрации и почтовый)</w:t>
            </w:r>
          </w:p>
        </w:tc>
        <w:tc>
          <w:tcPr>
            <w:tcW w:type="dxa" w:w="6236"/>
          </w:tcPr>
          <w:p>
            <w:r/>
            <w:r>
              <w:t>115201, г. Москва, 1-й Котляковский пер., д. 2А, к. 3, кв. 428В</w:t>
            </w:r>
          </w:p>
        </w:tc>
      </w:tr>
      <w:tr>
        <w:tc>
          <w:tcPr>
            <w:tcW w:type="dxa" w:w="3402"/>
          </w:tcPr>
          <w:p>
            <w:r/>
            <w:r>
              <w:t>Электронная почта для обращений</w:t>
            </w:r>
          </w:p>
        </w:tc>
        <w:tc>
          <w:tcPr>
            <w:tcW w:type="dxa" w:w="6236"/>
          </w:tcPr>
          <w:p>
            <w:r/>
            <w:r>
              <w:t>it@sk-family.tech</w:t>
            </w:r>
          </w:p>
        </w:tc>
      </w:tr>
    </w:tbl>
    <w:p>
      <w:pPr>
        <w:pStyle w:val="Heading1"/>
      </w:pPr>
      <w:r>
        <w:t>2. Основные понятия</w:t>
      </w:r>
    </w:p>
    <w:p>
      <w:pPr>
        <w:jc w:val="both"/>
      </w:pPr>
      <w:r>
        <w:rPr>
          <w:b/>
        </w:rPr>
        <w:t xml:space="preserve">Персональные данные (ПДн) — </w:t>
      </w:r>
      <w:r>
        <w:t>любая информация, относящаяся к прямо или косвенно определённому или определяемому физическому лицу.</w:t>
      </w:r>
    </w:p>
    <w:p>
      <w:pPr>
        <w:jc w:val="both"/>
      </w:pPr>
      <w:r>
        <w:rPr>
          <w:b/>
        </w:rPr>
        <w:t xml:space="preserve">Оператор — </w:t>
      </w:r>
      <w:r>
        <w:t>лицо, организующее и осуществляющее обработку ПДн и определяющее её цели и состав.</w:t>
      </w:r>
    </w:p>
    <w:p>
      <w:pPr>
        <w:jc w:val="both"/>
      </w:pPr>
      <w:r>
        <w:rPr>
          <w:b/>
        </w:rPr>
        <w:t xml:space="preserve">Обработка ПДн — </w:t>
      </w:r>
      <w:r>
        <w:t>любое действие (операция) с персональными данными, совершаемое с использованием средств автоматизации или без них.</w:t>
      </w:r>
    </w:p>
    <w:p>
      <w:pPr>
        <w:jc w:val="both"/>
      </w:pPr>
      <w:r>
        <w:rPr>
          <w:b/>
        </w:rPr>
        <w:t xml:space="preserve">Обработчик — </w:t>
      </w:r>
      <w:r>
        <w:t>лицо, обрабатывающее ПДн по поручению Оператора.</w:t>
      </w:r>
    </w:p>
    <w:p>
      <w:pPr>
        <w:jc w:val="both"/>
      </w:pPr>
      <w:r>
        <w:rPr>
          <w:b/>
        </w:rPr>
        <w:t xml:space="preserve">Субъект ПДн — </w:t>
      </w:r>
      <w:r>
        <w:t>Пользователь Сервиса, приглашаемый сотрудник, а также Клиент, чьи данные вносятся в Сервис.</w:t>
      </w:r>
    </w:p>
    <w:p>
      <w:pPr>
        <w:pStyle w:val="Heading1"/>
      </w:pPr>
      <w:r>
        <w:t>3. Категории субъектов персональных данных</w:t>
      </w:r>
    </w:p>
    <w:p>
      <w:pPr>
        <w:jc w:val="both"/>
      </w:pPr>
      <w:r>
        <w:t>Оператор обрабатывает данные следующих категорий субъектов: пользователи Сервиса (администраторы, менеджеры, эксперты Организаций); приглашаемые сотрудники, не завершившие регистрацию или активацию; клиенты, для объектов которых формируются акты, и иные лица, чьи данные могут попасть в материалы осмотра (в том числе на фотографии).</w:t>
      </w:r>
    </w:p>
    <w:p>
      <w:pPr>
        <w:pStyle w:val="Heading1"/>
      </w:pPr>
      <w:r>
        <w:t>4. Перечень обрабатываемых персональных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fill="D9E2F3"/>
          </w:tcPr>
          <w:p>
            <w:r/>
            <w:r>
              <w:rPr>
                <w:b/>
              </w:rPr>
              <w:t>Категория</w:t>
            </w:r>
          </w:p>
        </w:tc>
        <w:tc>
          <w:tcPr>
            <w:tcW w:type="dxa" w:w="5102"/>
            <w:shd w:val="clear" w:fill="D9E2F3"/>
          </w:tcPr>
          <w:p>
            <w:r/>
            <w:r>
              <w:rPr>
                <w:b/>
              </w:rPr>
              <w:t>Состав данных</w:t>
            </w:r>
          </w:p>
        </w:tc>
        <w:tc>
          <w:tcPr>
            <w:tcW w:type="dxa" w:w="2268"/>
            <w:shd w:val="clear" w:fill="D9E2F3"/>
          </w:tcPr>
          <w:p>
            <w:r/>
            <w:r>
              <w:rPr>
                <w:b/>
              </w:rPr>
              <w:t>Субъект</w:t>
            </w:r>
          </w:p>
        </w:tc>
      </w:tr>
      <w:tr>
        <w:tc>
          <w:tcPr>
            <w:tcW w:type="dxa" w:w="2268"/>
          </w:tcPr>
          <w:p>
            <w:r/>
            <w:r>
              <w:t>Учётная запись</w:t>
            </w:r>
          </w:p>
        </w:tc>
        <w:tc>
          <w:tcPr>
            <w:tcW w:type="dxa" w:w="5102"/>
          </w:tcPr>
          <w:p>
            <w:r/>
            <w:r>
              <w:t>email, внутренний идентификатор пользователя</w:t>
            </w:r>
          </w:p>
        </w:tc>
        <w:tc>
          <w:tcPr>
            <w:tcW w:type="dxa" w:w="2268"/>
          </w:tcPr>
          <w:p>
            <w:r/>
            <w:r>
              <w:t>пользователь</w:t>
            </w:r>
          </w:p>
        </w:tc>
      </w:tr>
      <w:tr>
        <w:tc>
          <w:tcPr>
            <w:tcW w:type="dxa" w:w="2268"/>
          </w:tcPr>
          <w:p>
            <w:r/>
            <w:r>
              <w:t>Профиль</w:t>
            </w:r>
          </w:p>
        </w:tc>
        <w:tc>
          <w:tcPr>
            <w:tcW w:type="dxa" w:w="5102"/>
          </w:tcPr>
          <w:p>
            <w:r/>
            <w:r>
              <w:t>имя, фамилия, отчество, телефон</w:t>
            </w:r>
          </w:p>
        </w:tc>
        <w:tc>
          <w:tcPr>
            <w:tcW w:type="dxa" w:w="2268"/>
          </w:tcPr>
          <w:p>
            <w:r/>
            <w:r>
              <w:t>пользователь / эксперт</w:t>
            </w:r>
          </w:p>
        </w:tc>
      </w:tr>
      <w:tr>
        <w:tc>
          <w:tcPr>
            <w:tcW w:type="dxa" w:w="2268"/>
          </w:tcPr>
          <w:p>
            <w:r/>
            <w:r>
              <w:t>Организация и полномочия</w:t>
            </w:r>
          </w:p>
        </w:tc>
        <w:tc>
          <w:tcPr>
            <w:tcW w:type="dxa" w:w="5102"/>
          </w:tcPr>
          <w:p>
            <w:r/>
            <w:r>
              <w:t>название организации, роль, статус членства и активации</w:t>
            </w:r>
          </w:p>
        </w:tc>
        <w:tc>
          <w:tcPr>
            <w:tcW w:type="dxa" w:w="2268"/>
          </w:tcPr>
          <w:p>
            <w:r/>
            <w:r>
              <w:t>представители организации</w:t>
            </w:r>
          </w:p>
        </w:tc>
      </w:tr>
      <w:tr>
        <w:tc>
          <w:tcPr>
            <w:tcW w:type="dxa" w:w="2268"/>
          </w:tcPr>
          <w:p>
            <w:r/>
            <w:r>
              <w:t>Аутентификация</w:t>
            </w:r>
          </w:p>
        </w:tc>
        <w:tc>
          <w:tcPr>
            <w:tcW w:type="dxa" w:w="5102"/>
          </w:tcPr>
          <w:p>
            <w:r/>
            <w:r>
              <w:t>пароль и PIN (в виде хэшей), токены сессий</w:t>
            </w:r>
          </w:p>
        </w:tc>
        <w:tc>
          <w:tcPr>
            <w:tcW w:type="dxa" w:w="2268"/>
          </w:tcPr>
          <w:p>
            <w:r/>
            <w:r>
              <w:t>пользователь</w:t>
            </w:r>
          </w:p>
        </w:tc>
      </w:tr>
      <w:tr>
        <w:tc>
          <w:tcPr>
            <w:tcW w:type="dxa" w:w="2268"/>
          </w:tcPr>
          <w:p>
            <w:r/>
            <w:r>
              <w:t>Приглашения и активация</w:t>
            </w:r>
          </w:p>
        </w:tc>
        <w:tc>
          <w:tcPr>
            <w:tcW w:type="dxa" w:w="5102"/>
          </w:tcPr>
          <w:p>
            <w:r/>
            <w:r>
              <w:t>email, роль, хэш токена, код активации, даты</w:t>
            </w:r>
          </w:p>
        </w:tc>
        <w:tc>
          <w:tcPr>
            <w:tcW w:type="dxa" w:w="2268"/>
          </w:tcPr>
          <w:p>
            <w:r/>
            <w:r>
              <w:t>приглашаемый сотрудник</w:t>
            </w:r>
          </w:p>
        </w:tc>
      </w:tr>
      <w:tr>
        <w:tc>
          <w:tcPr>
            <w:tcW w:type="dxa" w:w="2268"/>
          </w:tcPr>
          <w:p>
            <w:r/>
            <w:r>
              <w:t>Данные устройства</w:t>
            </w:r>
          </w:p>
        </w:tc>
        <w:tc>
          <w:tcPr>
            <w:tcW w:type="dxa" w:w="5102"/>
          </w:tcPr>
          <w:p>
            <w:r/>
            <w:r>
              <w:t>идентификатор устройства, платформа, версия ОС, модель, язык, версия приложения</w:t>
            </w:r>
          </w:p>
        </w:tc>
        <w:tc>
          <w:tcPr>
            <w:tcW w:type="dxa" w:w="2268"/>
          </w:tcPr>
          <w:p>
            <w:r/>
            <w:r>
              <w:t>пользователь мобильного приложения</w:t>
            </w:r>
          </w:p>
        </w:tc>
      </w:tr>
      <w:tr>
        <w:tc>
          <w:tcPr>
            <w:tcW w:type="dxa" w:w="2268"/>
          </w:tcPr>
          <w:p>
            <w:r/>
            <w:r>
              <w:t>Сетевые данные</w:t>
            </w:r>
          </w:p>
        </w:tc>
        <w:tc>
          <w:tcPr>
            <w:tcW w:type="dxa" w:w="5102"/>
          </w:tcPr>
          <w:p>
            <w:r/>
            <w:r>
              <w:t>IP-адрес, идентификатор запроса, метод и путь, код ответа, журналы доступа</w:t>
            </w:r>
          </w:p>
        </w:tc>
        <w:tc>
          <w:tcPr>
            <w:tcW w:type="dxa" w:w="2268"/>
          </w:tcPr>
          <w:p>
            <w:r/>
            <w:r>
              <w:t>пользователь / посетитель</w:t>
            </w:r>
          </w:p>
        </w:tc>
      </w:tr>
      <w:tr>
        <w:tc>
          <w:tcPr>
            <w:tcW w:type="dxa" w:w="2268"/>
          </w:tcPr>
          <w:p>
            <w:r/>
            <w:r>
              <w:t>Данные Клиента акта</w:t>
            </w:r>
          </w:p>
        </w:tc>
        <w:tc>
          <w:tcPr>
            <w:tcW w:type="dxa" w:w="5102"/>
          </w:tcPr>
          <w:p>
            <w:r/>
            <w:r>
              <w:t>ФИО, email, телефон Клиента</w:t>
            </w:r>
          </w:p>
        </w:tc>
        <w:tc>
          <w:tcPr>
            <w:tcW w:type="dxa" w:w="2268"/>
          </w:tcPr>
          <w:p>
            <w:r/>
            <w:r>
              <w:t>клиент</w:t>
            </w:r>
          </w:p>
        </w:tc>
      </w:tr>
      <w:tr>
        <w:tc>
          <w:tcPr>
            <w:tcW w:type="dxa" w:w="2268"/>
          </w:tcPr>
          <w:p>
            <w:r/>
            <w:r>
              <w:t>Объект и осмотр</w:t>
            </w:r>
          </w:p>
        </w:tc>
        <w:tc>
          <w:tcPr>
            <w:tcW w:type="dxa" w:w="5102"/>
          </w:tcPr>
          <w:p>
            <w:r/>
            <w:r>
              <w:t>название и адрес объекта, время осмотра, тип и статус акта</w:t>
            </w:r>
          </w:p>
        </w:tc>
        <w:tc>
          <w:tcPr>
            <w:tcW w:type="dxa" w:w="2268"/>
          </w:tcPr>
          <w:p>
            <w:r/>
            <w:r>
              <w:t>клиент / пользователь</w:t>
            </w:r>
          </w:p>
        </w:tc>
      </w:tr>
      <w:tr>
        <w:tc>
          <w:tcPr>
            <w:tcW w:type="dxa" w:w="2268"/>
          </w:tcPr>
          <w:p>
            <w:r/>
            <w:r>
              <w:t>Дефекты и комментарии</w:t>
            </w:r>
          </w:p>
        </w:tc>
        <w:tc>
          <w:tcPr>
            <w:tcW w:type="dxa" w:w="5102"/>
          </w:tcPr>
          <w:p>
            <w:r/>
            <w:r>
              <w:t>помещение, дефект, норматив, свободный комментарий</w:t>
            </w:r>
          </w:p>
        </w:tc>
        <w:tc>
          <w:tcPr>
            <w:tcW w:type="dxa" w:w="2268"/>
          </w:tcPr>
          <w:p>
            <w:r/>
            <w:r>
              <w:t>относится к объекту/клиенту</w:t>
            </w:r>
          </w:p>
        </w:tc>
      </w:tr>
      <w:tr>
        <w:tc>
          <w:tcPr>
            <w:tcW w:type="dxa" w:w="2268"/>
          </w:tcPr>
          <w:p>
            <w:r/>
            <w:r>
              <w:t>Фотографии</w:t>
            </w:r>
          </w:p>
        </w:tc>
        <w:tc>
          <w:tcPr>
            <w:tcW w:type="dxa" w:w="5102"/>
          </w:tcPr>
          <w:p>
            <w:r/>
            <w:r>
              <w:t>фото объекта и дефектов, метаданные файлов</w:t>
            </w:r>
          </w:p>
        </w:tc>
        <w:tc>
          <w:tcPr>
            <w:tcW w:type="dxa" w:w="2268"/>
          </w:tcPr>
          <w:p>
            <w:r/>
            <w:r>
              <w:t>клиент / лица в кадре</w:t>
            </w:r>
          </w:p>
        </w:tc>
      </w:tr>
      <w:tr>
        <w:tc>
          <w:tcPr>
            <w:tcW w:type="dxa" w:w="2268"/>
          </w:tcPr>
          <w:p>
            <w:r/>
            <w:r>
              <w:t>Документы</w:t>
            </w:r>
          </w:p>
        </w:tc>
        <w:tc>
          <w:tcPr>
            <w:tcW w:type="dxa" w:w="5102"/>
          </w:tcPr>
          <w:p>
            <w:r/>
            <w:r>
              <w:t>PDF-акт, ключ хранения, статус и дата генерации</w:t>
            </w:r>
          </w:p>
        </w:tc>
        <w:tc>
          <w:tcPr>
            <w:tcW w:type="dxa" w:w="2268"/>
          </w:tcPr>
          <w:p>
            <w:r/>
            <w:r>
              <w:t>клиент / эксперт</w:t>
            </w:r>
          </w:p>
        </w:tc>
      </w:tr>
      <w:tr>
        <w:tc>
          <w:tcPr>
            <w:tcW w:type="dxa" w:w="2268"/>
          </w:tcPr>
          <w:p>
            <w:r/>
            <w:r>
              <w:t>Email-доставка</w:t>
            </w:r>
          </w:p>
        </w:tc>
        <w:tc>
          <w:tcPr>
            <w:tcW w:type="dxa" w:w="5102"/>
          </w:tcPr>
          <w:p>
            <w:r/>
            <w:r>
              <w:t>email получателя, статус и попытки отправки</w:t>
            </w:r>
          </w:p>
        </w:tc>
        <w:tc>
          <w:tcPr>
            <w:tcW w:type="dxa" w:w="2268"/>
          </w:tcPr>
          <w:p>
            <w:r/>
            <w:r>
              <w:t>клиент / получатель</w:t>
            </w:r>
          </w:p>
        </w:tc>
      </w:tr>
      <w:tr>
        <w:tc>
          <w:tcPr>
            <w:tcW w:type="dxa" w:w="2268"/>
          </w:tcPr>
          <w:p>
            <w:r/>
            <w:r>
              <w:t>Публичная выдача</w:t>
            </w:r>
          </w:p>
        </w:tc>
        <w:tc>
          <w:tcPr>
            <w:tcW w:type="dxa" w:w="5102"/>
          </w:tcPr>
          <w:p>
            <w:r/>
            <w:r>
              <w:t>хэш токена публичной ссылки, статус, вариант документа</w:t>
            </w:r>
          </w:p>
        </w:tc>
        <w:tc>
          <w:tcPr>
            <w:tcW w:type="dxa" w:w="2268"/>
          </w:tcPr>
          <w:p>
            <w:r/>
            <w:r>
              <w:t>клиент / получатель</w:t>
            </w:r>
          </w:p>
        </w:tc>
      </w:tr>
      <w:tr>
        <w:tc>
          <w:tcPr>
            <w:tcW w:type="dxa" w:w="2268"/>
          </w:tcPr>
          <w:p>
            <w:r/>
            <w:r>
              <w:t>Диагностика (Android)</w:t>
            </w:r>
          </w:p>
        </w:tc>
        <w:tc>
          <w:tcPr>
            <w:tcW w:type="dxa" w:w="5102"/>
          </w:tcPr>
          <w:p>
            <w:r/>
            <w:r>
              <w:t>технические данные аналитики и сбоев, состав определяется Firebase SDK</w:t>
            </w:r>
          </w:p>
        </w:tc>
        <w:tc>
          <w:tcPr>
            <w:tcW w:type="dxa" w:w="2268"/>
          </w:tcPr>
          <w:p>
            <w:r/>
            <w:r>
              <w:t>пользователь Android</w:t>
            </w:r>
          </w:p>
        </w:tc>
      </w:tr>
    </w:tbl>
    <w:p>
      <w:pPr>
        <w:jc w:val="both"/>
      </w:pPr>
      <w:r>
        <w:t>Оператор не обрабатывает специальные категории персональных данных и биометрические персональные данные (ст. 10–11 152-ФЗ). Фотографии не используются для распознавания лиц или биометрической идентификации.</w:t>
      </w:r>
    </w:p>
    <w:p>
      <w:pPr>
        <w:pStyle w:val="Heading1"/>
      </w:pPr>
      <w:r>
        <w:t>5. Цели обработки и правовые основания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3402"/>
            <w:shd w:val="clear" w:fill="D9E2F3"/>
          </w:tcPr>
          <w:p>
            <w:r/>
            <w:r>
              <w:rPr>
                <w:b/>
              </w:rPr>
              <w:t>Цель обработки</w:t>
            </w:r>
          </w:p>
        </w:tc>
        <w:tc>
          <w:tcPr>
            <w:tcW w:type="dxa" w:w="3118"/>
            <w:shd w:val="clear" w:fill="D9E2F3"/>
          </w:tcPr>
          <w:p>
            <w:r/>
            <w:r>
              <w:rPr>
                <w:b/>
              </w:rPr>
              <w:t>Данные</w:t>
            </w:r>
          </w:p>
        </w:tc>
        <w:tc>
          <w:tcPr>
            <w:tcW w:type="dxa" w:w="3118"/>
            <w:shd w:val="clear" w:fill="D9E2F3"/>
          </w:tcPr>
          <w:p>
            <w:r/>
            <w:r>
              <w:rPr>
                <w:b/>
              </w:rPr>
              <w:t>Правовое основание</w:t>
            </w:r>
          </w:p>
        </w:tc>
      </w:tr>
      <w:tr>
        <w:tc>
          <w:tcPr>
            <w:tcW w:type="dxa" w:w="3402"/>
          </w:tcPr>
          <w:p>
            <w:r/>
            <w:r>
              <w:t>Регистрация, вход, идентификация, поддержание сессии</w:t>
            </w:r>
          </w:p>
        </w:tc>
        <w:tc>
          <w:tcPr>
            <w:tcW w:type="dxa" w:w="3118"/>
          </w:tcPr>
          <w:p>
            <w:r/>
            <w:r>
              <w:t>email, идентификатор, пароль/PIN (хэши), токены, данные устройства, IP</w:t>
            </w:r>
          </w:p>
        </w:tc>
        <w:tc>
          <w:tcPr>
            <w:tcW w:type="dxa" w:w="3118"/>
          </w:tcPr>
          <w:p>
            <w:r/>
            <w:r>
              <w:t>исполнение договора с пользователем/организацией; согласие</w:t>
            </w:r>
          </w:p>
        </w:tc>
      </w:tr>
      <w:tr>
        <w:tc>
          <w:tcPr>
            <w:tcW w:type="dxa" w:w="3402"/>
          </w:tcPr>
          <w:p>
            <w:r/>
            <w:r>
              <w:t>Ведение профиля и списка сотрудников, разграничение доступа</w:t>
            </w:r>
          </w:p>
        </w:tc>
        <w:tc>
          <w:tcPr>
            <w:tcW w:type="dxa" w:w="3118"/>
          </w:tcPr>
          <w:p>
            <w:r/>
            <w:r>
              <w:t>ФИО, телефон, организация, роль, статус</w:t>
            </w:r>
          </w:p>
        </w:tc>
        <w:tc>
          <w:tcPr>
            <w:tcW w:type="dxa" w:w="3118"/>
          </w:tcPr>
          <w:p>
            <w:r/>
            <w:r>
              <w:t>исполнение договора; согласие субъекта</w:t>
            </w:r>
          </w:p>
        </w:tc>
      </w:tr>
      <w:tr>
        <w:tc>
          <w:tcPr>
            <w:tcW w:type="dxa" w:w="3402"/>
          </w:tcPr>
          <w:p>
            <w:r/>
            <w:r>
              <w:t>Приглашение и активация сотрудников</w:t>
            </w:r>
          </w:p>
        </w:tc>
        <w:tc>
          <w:tcPr>
            <w:tcW w:type="dxa" w:w="3118"/>
          </w:tcPr>
          <w:p>
            <w:r/>
            <w:r>
              <w:t>email, роль, токен/код, даты</w:t>
            </w:r>
          </w:p>
        </w:tc>
        <w:tc>
          <w:tcPr>
            <w:tcW w:type="dxa" w:w="3118"/>
          </w:tcPr>
          <w:p>
            <w:r/>
            <w:r>
              <w:t>исполнение договора; согласие</w:t>
            </w:r>
          </w:p>
        </w:tc>
      </w:tr>
      <w:tr>
        <w:tc>
          <w:tcPr>
            <w:tcW w:type="dxa" w:w="3402"/>
          </w:tcPr>
          <w:p>
            <w:r/>
            <w:r>
              <w:t>Проведение осмотра и формирование актов</w:t>
            </w:r>
          </w:p>
        </w:tc>
        <w:tc>
          <w:tcPr>
            <w:tcW w:type="dxa" w:w="3118"/>
          </w:tcPr>
          <w:p>
            <w:r/>
            <w:r>
              <w:t>данные Клиента, объект, дефекты, фотографии</w:t>
            </w:r>
          </w:p>
        </w:tc>
        <w:tc>
          <w:tcPr>
            <w:tcW w:type="dxa" w:w="3118"/>
          </w:tcPr>
          <w:p>
            <w:r/>
            <w:r>
              <w:t>договор с организацией; согласие субъекта (обеспечивается организацией)</w:t>
            </w:r>
          </w:p>
        </w:tc>
      </w:tr>
      <w:tr>
        <w:tc>
          <w:tcPr>
            <w:tcW w:type="dxa" w:w="3402"/>
          </w:tcPr>
          <w:p>
            <w:r/>
            <w:r>
              <w:t>Выдача и отправка актов (email, публичная ссылка)</w:t>
            </w:r>
          </w:p>
        </w:tc>
        <w:tc>
          <w:tcPr>
            <w:tcW w:type="dxa" w:w="3118"/>
          </w:tcPr>
          <w:p>
            <w:r/>
            <w:r>
              <w:t>email получателя, PDF, токен ссылки</w:t>
            </w:r>
          </w:p>
        </w:tc>
        <w:tc>
          <w:tcPr>
            <w:tcW w:type="dxa" w:w="3118"/>
          </w:tcPr>
          <w:p>
            <w:r/>
            <w:r>
              <w:t>исполнение договора; согласие</w:t>
            </w:r>
          </w:p>
        </w:tc>
      </w:tr>
      <w:tr>
        <w:tc>
          <w:tcPr>
            <w:tcW w:type="dxa" w:w="3402"/>
          </w:tcPr>
          <w:p>
            <w:r/>
            <w:r>
              <w:t>Безопасность, защита от злоупотреблений, диагностика</w:t>
            </w:r>
          </w:p>
        </w:tc>
        <w:tc>
          <w:tcPr>
            <w:tcW w:type="dxa" w:w="3118"/>
          </w:tcPr>
          <w:p>
            <w:r/>
            <w:r>
              <w:t>IP, журналы доступа, идентификаторы запросов</w:t>
            </w:r>
          </w:p>
        </w:tc>
        <w:tc>
          <w:tcPr>
            <w:tcW w:type="dxa" w:w="3118"/>
          </w:tcPr>
          <w:p>
            <w:r/>
            <w:r>
              <w:t>законный интерес обеспечения работы и безопасности Сервиса</w:t>
            </w:r>
          </w:p>
        </w:tc>
      </w:tr>
      <w:tr>
        <w:tc>
          <w:tcPr>
            <w:tcW w:type="dxa" w:w="3402"/>
          </w:tcPr>
          <w:p>
            <w:r/>
            <w:r>
              <w:t>Аналитика и диагностика мобильного приложения (Android)</w:t>
            </w:r>
          </w:p>
        </w:tc>
        <w:tc>
          <w:tcPr>
            <w:tcW w:type="dxa" w:w="3118"/>
          </w:tcPr>
          <w:p>
            <w:r/>
            <w:r>
              <w:t>технические данные Firebase SDK</w:t>
            </w:r>
          </w:p>
        </w:tc>
        <w:tc>
          <w:tcPr>
            <w:tcW w:type="dxa" w:w="3118"/>
          </w:tcPr>
          <w:p>
            <w:r/>
            <w:r>
              <w:t>согласие пользователя</w:t>
            </w:r>
          </w:p>
        </w:tc>
      </w:tr>
    </w:tbl>
    <w:p>
      <w:pPr>
        <w:pStyle w:val="Heading1"/>
      </w:pPr>
      <w:r>
        <w:t>6. Распределение ролей: данные пользователей и данные Клиентов</w:t>
      </w:r>
    </w:p>
    <w:p>
      <w:pPr>
        <w:jc w:val="both"/>
      </w:pPr>
      <w:r>
        <w:rPr>
          <w:b/>
        </w:rPr>
        <w:t xml:space="preserve">6.1. </w:t>
      </w:r>
      <w:r>
        <w:t>В отношении данных пользователей-сотрудников (учётные записи, профили, доступы) Оператор выступает оператором персональных данных.</w:t>
      </w:r>
    </w:p>
    <w:p>
      <w:pPr>
        <w:jc w:val="both"/>
      </w:pPr>
      <w:r>
        <w:rPr>
          <w:b/>
        </w:rPr>
        <w:t xml:space="preserve">6.2. </w:t>
      </w:r>
      <w:r>
        <w:t>В отношении данных Клиентов и иных лиц, вносимых в Сервис сотрудниками Организации, Организация определяет цели и состав обработки. Оператор обрабатывает такие данные для обеспечения работы Сервиса (хранение, формирование и отправка актов). Конкретное распределение ролей оператора и обработчика определяется договором между Оператором и Организацией.</w:t>
      </w:r>
    </w:p>
    <w:p>
      <w:pPr>
        <w:jc w:val="both"/>
      </w:pPr>
      <w:r>
        <w:rPr>
          <w:b/>
        </w:rPr>
        <w:t xml:space="preserve">6.3. </w:t>
      </w:r>
      <w:r>
        <w:t>Организация гарантирует наличие правовых оснований (в том числе согласий) на обработку и передачу данных Клиентов в Сервис.</w:t>
      </w:r>
    </w:p>
    <w:p>
      <w:pPr>
        <w:pStyle w:val="Heading1"/>
      </w:pPr>
      <w:r>
        <w:t>7. Способы и условия обработки</w:t>
      </w:r>
    </w:p>
    <w:p>
      <w:pPr>
        <w:jc w:val="both"/>
      </w:pPr>
      <w:r>
        <w:rPr>
          <w:b/>
        </w:rPr>
        <w:t xml:space="preserve">7.1. </w:t>
      </w:r>
      <w:r>
        <w:t>Обработка осуществляется с использованием средств автоматизации и без них и включает: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уничтожение. Часть данных обрабатывается локально (офлайн) в мобильном приложении и затем синхронизируется с сервером по защищённому каналу (HTTPS).</w:t>
      </w:r>
    </w:p>
    <w:p>
      <w:pPr>
        <w:jc w:val="both"/>
      </w:pPr>
      <w:r>
        <w:rPr>
          <w:b/>
        </w:rPr>
        <w:t xml:space="preserve">7.2. </w:t>
      </w:r>
      <w:r>
        <w:t>Базы данных и файловое хранилище размещаются на территории Российской Федерации (инфраструктура Timeweb, объектное хранилище в регионе ru-1), в соответствии с ч. 5 ст. 18 152-ФЗ.</w:t>
      </w:r>
    </w:p>
    <w:p>
      <w:pPr>
        <w:jc w:val="both"/>
      </w:pPr>
      <w:r>
        <w:rPr>
          <w:b/>
        </w:rPr>
        <w:t xml:space="preserve">7.3. </w:t>
      </w:r>
      <w:r>
        <w:t>Автоматизированное принятие решений, порождающих юридические последствия для субъекта, и профилирование с такими последствиями не применяются.</w:t>
      </w:r>
    </w:p>
    <w:p>
      <w:pPr>
        <w:pStyle w:val="Heading1"/>
      </w:pPr>
      <w:r>
        <w:t>8. Сроки обработки и хранения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819"/>
            <w:shd w:val="clear" w:fill="D9E2F3"/>
          </w:tcPr>
          <w:p>
            <w:r/>
            <w:r>
              <w:rPr>
                <w:b/>
              </w:rPr>
              <w:t>Объект</w:t>
            </w:r>
          </w:p>
        </w:tc>
        <w:tc>
          <w:tcPr>
            <w:tcW w:type="dxa" w:w="4819"/>
            <w:shd w:val="clear" w:fill="D9E2F3"/>
          </w:tcPr>
          <w:p>
            <w:r/>
            <w:r>
              <w:rPr>
                <w:b/>
              </w:rPr>
              <w:t>Срок / условие</w:t>
            </w:r>
          </w:p>
        </w:tc>
      </w:tr>
      <w:tr>
        <w:tc>
          <w:tcPr>
            <w:tcW w:type="dxa" w:w="4819"/>
          </w:tcPr>
          <w:p>
            <w:r/>
            <w:r>
              <w:t>Токен доступа (access token)</w:t>
            </w:r>
          </w:p>
        </w:tc>
        <w:tc>
          <w:tcPr>
            <w:tcW w:type="dxa" w:w="4819"/>
          </w:tcPr>
          <w:p>
            <w:r/>
            <w:r>
              <w:t>ограниченное время сессии (по умолчанию 15 минут)</w:t>
            </w:r>
          </w:p>
        </w:tc>
      </w:tr>
      <w:tr>
        <w:tc>
          <w:tcPr>
            <w:tcW w:type="dxa" w:w="4819"/>
          </w:tcPr>
          <w:p>
            <w:r/>
            <w:r>
              <w:t>Сессионный токен (refresh)</w:t>
            </w:r>
          </w:p>
        </w:tc>
        <w:tc>
          <w:tcPr>
            <w:tcW w:type="dxa" w:w="4819"/>
          </w:tcPr>
          <w:p>
            <w:r/>
            <w:r>
              <w:t>по умолчанию до 7 дней; может храниться дата отзыва</w:t>
            </w:r>
          </w:p>
        </w:tc>
      </w:tr>
      <w:tr>
        <w:tc>
          <w:tcPr>
            <w:tcW w:type="dxa" w:w="4819"/>
          </w:tcPr>
          <w:p>
            <w:r/>
            <w:r>
              <w:t>Приглашение и код активации</w:t>
            </w:r>
          </w:p>
        </w:tc>
        <w:tc>
          <w:tcPr>
            <w:tcW w:type="dxa" w:w="4819"/>
          </w:tcPr>
          <w:p>
            <w:r/>
            <w:r>
              <w:t>по умолчанию до 7 дней</w:t>
            </w:r>
          </w:p>
        </w:tc>
      </w:tr>
      <w:tr>
        <w:tc>
          <w:tcPr>
            <w:tcW w:type="dxa" w:w="4819"/>
          </w:tcPr>
          <w:p>
            <w:r/>
            <w:r>
              <w:t>Временные фотографии незавершённого черновика</w:t>
            </w:r>
          </w:p>
        </w:tc>
        <w:tc>
          <w:tcPr>
            <w:tcW w:type="dxa" w:w="4819"/>
          </w:tcPr>
          <w:p>
            <w:r/>
            <w:r>
              <w:t>до 72 часов с последующей очисткой</w:t>
            </w:r>
          </w:p>
        </w:tc>
      </w:tr>
      <w:tr>
        <w:tc>
          <w:tcPr>
            <w:tcW w:type="dxa" w:w="4819"/>
          </w:tcPr>
          <w:p>
            <w:r/>
            <w:r>
              <w:t>Учётные записи, данные Клиентов, акты, итоговые фото и PDF</w:t>
            </w:r>
          </w:p>
        </w:tc>
        <w:tc>
          <w:tcPr>
            <w:tcW w:type="dxa" w:w="4819"/>
          </w:tcPr>
          <w:p>
            <w:r/>
            <w:r>
              <w:t>до прекращения использования и (или) по утверждённому графику хранения</w:t>
            </w:r>
          </w:p>
        </w:tc>
      </w:tr>
      <w:tr>
        <w:tc>
          <w:tcPr>
            <w:tcW w:type="dxa" w:w="4819"/>
          </w:tcPr>
          <w:p>
            <w:r/>
            <w:r>
              <w:t>Журналы и резервные копии</w:t>
            </w:r>
          </w:p>
        </w:tc>
        <w:tc>
          <w:tcPr>
            <w:tcW w:type="dxa" w:w="4819"/>
          </w:tcPr>
          <w:p>
            <w:r/>
            <w:r>
              <w:t>по утверждённому графику хранения</w:t>
            </w:r>
          </w:p>
        </w:tc>
      </w:tr>
    </w:tbl>
    <w:p>
      <w:pPr>
        <w:jc w:val="both"/>
      </w:pPr>
      <w:r>
        <w:t>Конкретные сроки хранения утверждаются Оператором (график хранения) и синхронизируются с настройками систем, резервных копий и журналов. По достижении целей обработки или при отзыве согласия (при отсутствии иного основания) данные удаляются или обезличиваются в срок не позднее 30 дней.</w:t>
      </w:r>
    </w:p>
    <w:p>
      <w:pPr>
        <w:pStyle w:val="Heading1"/>
      </w:pPr>
      <w:r>
        <w:t>9. Передача персональных данных третьим лицам</w:t>
      </w:r>
    </w:p>
    <w:p>
      <w:pPr>
        <w:jc w:val="both"/>
      </w:pPr>
      <w:r>
        <w:t>Для обеспечения работы Сервиса данные могут передаваться следующим лицам в объёме, необходимом для соответствующих целей:</w:t>
      </w:r>
    </w:p>
    <w:p>
      <w:pPr>
        <w:pStyle w:val="ListBullet"/>
        <w:jc w:val="both"/>
      </w:pPr>
      <w:r>
        <w:t>поставщику облачной инфраструктуры и управляемой базы данных (Timeweb, РФ) — хостинг и хранение;</w:t>
      </w:r>
    </w:p>
    <w:p>
      <w:pPr>
        <w:pStyle w:val="ListBullet"/>
        <w:jc w:val="both"/>
      </w:pPr>
      <w:r>
        <w:t>оператору объектного хранилища (S3-совместимое хранилище, регион ru-1, РФ) — хранение фотографий и документов;</w:t>
      </w:r>
    </w:p>
    <w:p>
      <w:pPr>
        <w:pStyle w:val="ListBullet"/>
        <w:jc w:val="both"/>
      </w:pPr>
      <w:r>
        <w:t>почтовому сервису (Yandex SMTP) — отправка актов, приглашений и кодов;</w:t>
      </w:r>
    </w:p>
    <w:p>
      <w:pPr>
        <w:pStyle w:val="ListBullet"/>
        <w:jc w:val="both"/>
      </w:pPr>
      <w:r>
        <w:t>сервису мониторинга доступности (Uptime Robot) — техническая проверка работоспособности (URL и технические сведения);</w:t>
      </w:r>
    </w:p>
    <w:p>
      <w:pPr>
        <w:pStyle w:val="ListBullet"/>
        <w:jc w:val="both"/>
      </w:pPr>
      <w:r>
        <w:t>Google Firebase (только в Android-приложении) — может использоваться для аналитики использования и диагностики сбоев; объём данных определяется настройками Firebase SDK;</w:t>
      </w:r>
    </w:p>
    <w:p>
      <w:pPr>
        <w:pStyle w:val="ListBullet"/>
        <w:jc w:val="both"/>
      </w:pPr>
      <w:r>
        <w:t>магазинам приложений (Google Play, Apple App Store) — как каналам распространения с собственными политиками конфиденциальности;</w:t>
      </w:r>
    </w:p>
    <w:p>
      <w:pPr>
        <w:pStyle w:val="ListBullet"/>
        <w:jc w:val="both"/>
      </w:pPr>
      <w:r>
        <w:t>администраторам и менеджерам Организации — в пределах предоставленных ролей;</w:t>
      </w:r>
    </w:p>
    <w:p>
      <w:pPr>
        <w:pStyle w:val="ListBullet"/>
        <w:jc w:val="both"/>
      </w:pPr>
      <w:r>
        <w:t>получателю публичной ссылки на PDF-акт — в объёме сформированного документа.</w:t>
      </w:r>
    </w:p>
    <w:p>
      <w:pPr>
        <w:pStyle w:val="Heading1"/>
      </w:pPr>
      <w:r>
        <w:t>10. Трансграничная передача данных</w:t>
      </w:r>
    </w:p>
    <w:p>
      <w:pPr>
        <w:jc w:val="both"/>
      </w:pPr>
      <w:r>
        <w:t>Основные данные обрабатываются и хранятся на территории Российской Федерации. При использовании в Android-приложении сервисов Google Firebase отдельные технические данные могут обрабатываться на серверах компании Google, в том числе за пределами Российской Федерации. Такая обработка осуществляется с согласия субъекта персональных данных и в объёме, определяемом настройками Firebase SDK (ст. 12 152-ФЗ). Оператор принимает меры по минимизации передаваемых данных; при отказе от использования Firebase соответствующая передача прекращается.</w:t>
      </w:r>
    </w:p>
    <w:p>
      <w:pPr>
        <w:pStyle w:val="Heading1"/>
      </w:pPr>
      <w:r>
        <w:t>11. Меры по защите персональных данных</w:t>
      </w:r>
    </w:p>
    <w:p>
      <w:pPr>
        <w:jc w:val="both"/>
      </w:pPr>
      <w:r>
        <w:t>Оператор принимает правовые, организационные и технические меры защиты, в том числе: разграничение доступа по ролям, передачу данных по защищённым каналам (HTTPS), хранение паролей и PIN-кодов в виде хэшей, ограничение срока действия токенов и публичных ссылок, обезличивание данных при удалении, ведение журналов доступа и ограничение состава журналируемых данных в продуктивной среде.</w:t>
      </w:r>
    </w:p>
    <w:p>
      <w:pPr>
        <w:pStyle w:val="Heading1"/>
      </w:pPr>
      <w:r>
        <w:t>12. Права субъекта персональных данных</w:t>
      </w:r>
    </w:p>
    <w:p>
      <w:pPr>
        <w:jc w:val="both"/>
      </w:pPr>
      <w:r>
        <w:t>В соответствии с 152-ФЗ субъект имеет право: на доступ к своим данным; на их уточнение, блокирование или удаление при неполноте, неточности или неправомерной обработке; на отзыв согласия; на обжалование действий Оператора в Роскомнадзор или в суд.</w:t>
      </w:r>
    </w:p>
    <w:p>
      <w:pPr>
        <w:jc w:val="both"/>
      </w:pPr>
      <w:r>
        <w:rPr>
          <w:b/>
        </w:rPr>
        <w:t xml:space="preserve">12.1. </w:t>
      </w:r>
      <w:r>
        <w:t>Для реализации прав субъект направляет обращение по адресу it@sk-family.tech. Срок ответа — не более 30 дней.</w:t>
      </w:r>
    </w:p>
    <w:p>
      <w:pPr>
        <w:jc w:val="both"/>
      </w:pPr>
      <w:r>
        <w:rPr>
          <w:b/>
        </w:rPr>
        <w:t xml:space="preserve">12.2. </w:t>
      </w:r>
      <w:r>
        <w:t>Запросы Клиентов, чьи данные внесены Организацией, могут перенаправляться соответствующей Организации как лицу, определившему цели обработки. Деактивация или удаление сотрудника в Сервисе не равнозначны удалению всех связанных данных Клиентов и актов; полное удаление осуществляется по запросу в порядке, определённом Оператором и Организацией.</w:t>
      </w:r>
    </w:p>
    <w:p>
      <w:pPr>
        <w:pStyle w:val="Heading1"/>
      </w:pPr>
      <w:r>
        <w:t>13. Согласие на обработку персональных данных</w:t>
      </w:r>
    </w:p>
    <w:p>
      <w:pPr>
        <w:jc w:val="both"/>
      </w:pPr>
      <w:r>
        <w:rPr>
          <w:b/>
        </w:rPr>
        <w:t xml:space="preserve">13.1. </w:t>
      </w:r>
      <w:r>
        <w:t>Согласие на обработку персональных данных предоставляется Пользователем путем установки отдельного флажка (checkbox) при регистрации организации, принятии приглашения или активации по коду. Обычный вход и дальнейшее использование Сервиса сами по себе согласием не являются.</w:t>
      </w:r>
    </w:p>
    <w:p>
      <w:pPr>
        <w:jc w:val="both"/>
      </w:pPr>
      <w:r>
        <w:rPr>
          <w:b/>
        </w:rPr>
        <w:t xml:space="preserve">13.2. </w:t>
      </w:r>
      <w:r>
        <w:t>Согласие предоставляется на срок использования Сервиса и до момента отзыва. Отзыв осуществляется направлением обращения Оператору, а также путём прекращения использования и удаления аккаунта (через администратора Организации).</w:t>
      </w:r>
    </w:p>
    <w:p>
      <w:pPr>
        <w:pStyle w:val="Heading1"/>
      </w:pPr>
      <w:r>
        <w:t>14. Файлы cookie и локальное хранение</w:t>
      </w:r>
    </w:p>
    <w:p>
      <w:pPr>
        <w:jc w:val="both"/>
      </w:pPr>
      <w:r>
        <w:t>Веб-панель использует технически необходимые файлы cookie для поддержания авторизованной сессии и контекста организации, а также локальное хранилище браузера (localStorage) для интерфейсных настроек. Мобильное приложение хранит токены и отображаемое имя в постоянных настройках устройства. Подробнее — в Политике использования файлов cookie.</w:t>
      </w:r>
    </w:p>
    <w:p>
      <w:pPr>
        <w:pStyle w:val="Heading1"/>
      </w:pPr>
      <w:r>
        <w:t>15. Изменение Политики</w:t>
      </w:r>
    </w:p>
    <w:p>
      <w:pPr>
        <w:jc w:val="both"/>
      </w:pPr>
      <w:r>
        <w:t>Оператор вправе вносить изменения в Политику. Актуальная редакция размещается в Сервисе и вступает в силу с момента размещения.</w:t>
      </w:r>
    </w:p>
    <w:p>
      <w:pPr>
        <w:pStyle w:val="Heading1"/>
      </w:pPr>
      <w:r>
        <w:t>16. Связанные документы</w:t>
      </w:r>
    </w:p>
    <w:p>
      <w:pPr>
        <w:jc w:val="both"/>
      </w:pPr>
      <w:r>
        <w:t>Политика действует совместно с Пользовательским соглашением и Политикой использования файлов cookie сервиса ActPro.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